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8A9D2" w14:textId="3C41B77C" w:rsidR="00A96376" w:rsidRDefault="00A96376" w:rsidP="00A96376">
      <w:pPr>
        <w:jc w:val="center"/>
        <w:rPr>
          <w:rFonts w:ascii="Calibri" w:eastAsia="Calibri" w:hAnsi="Calibri" w:cs="Calibri"/>
          <w:b/>
          <w:color w:val="1F4E79"/>
          <w:sz w:val="28"/>
          <w:szCs w:val="28"/>
        </w:rPr>
      </w:pPr>
      <w:r w:rsidRPr="008355CC">
        <w:rPr>
          <w:rFonts w:ascii="Calibri" w:eastAsia="Calibri" w:hAnsi="Calibri" w:cs="Calibri"/>
          <w:b/>
          <w:color w:val="1F4E79"/>
          <w:sz w:val="28"/>
          <w:szCs w:val="28"/>
        </w:rPr>
        <w:t xml:space="preserve">Oli </w:t>
      </w:r>
      <w:r w:rsidR="0088795B">
        <w:rPr>
          <w:rFonts w:ascii="Calibri" w:eastAsia="Calibri" w:hAnsi="Calibri" w:cs="Calibri"/>
          <w:b/>
          <w:color w:val="1F4E79"/>
          <w:sz w:val="28"/>
          <w:szCs w:val="28"/>
        </w:rPr>
        <w:t xml:space="preserve">minerali </w:t>
      </w:r>
      <w:r w:rsidRPr="008355CC">
        <w:rPr>
          <w:rFonts w:ascii="Calibri" w:eastAsia="Calibri" w:hAnsi="Calibri" w:cs="Calibri"/>
          <w:b/>
          <w:color w:val="1F4E79"/>
          <w:sz w:val="28"/>
          <w:szCs w:val="28"/>
        </w:rPr>
        <w:t xml:space="preserve">usati, CONOU: </w:t>
      </w:r>
      <w:r w:rsidR="00F21BC5">
        <w:rPr>
          <w:rFonts w:ascii="Calibri" w:eastAsia="Calibri" w:hAnsi="Calibri" w:cs="Calibri"/>
          <w:b/>
          <w:color w:val="1F4E79"/>
          <w:sz w:val="28"/>
          <w:szCs w:val="28"/>
        </w:rPr>
        <w:t xml:space="preserve">Italia batte Europa </w:t>
      </w:r>
      <w:r w:rsidR="009E0791">
        <w:rPr>
          <w:rFonts w:ascii="Calibri" w:eastAsia="Calibri" w:hAnsi="Calibri" w:cs="Calibri"/>
          <w:b/>
          <w:color w:val="1F4E79"/>
          <w:sz w:val="28"/>
          <w:szCs w:val="28"/>
        </w:rPr>
        <w:t>98</w:t>
      </w:r>
      <w:r w:rsidR="00297C34">
        <w:rPr>
          <w:rFonts w:ascii="Calibri" w:eastAsia="Calibri" w:hAnsi="Calibri" w:cs="Calibri"/>
          <w:b/>
          <w:color w:val="1F4E79"/>
          <w:sz w:val="28"/>
          <w:szCs w:val="28"/>
        </w:rPr>
        <w:t>%</w:t>
      </w:r>
      <w:r w:rsidR="00F21BC5">
        <w:rPr>
          <w:rFonts w:ascii="Calibri" w:eastAsia="Calibri" w:hAnsi="Calibri" w:cs="Calibri"/>
          <w:b/>
          <w:color w:val="1F4E79"/>
          <w:sz w:val="28"/>
          <w:szCs w:val="28"/>
        </w:rPr>
        <w:t>-61</w:t>
      </w:r>
      <w:r w:rsidR="00297C34">
        <w:rPr>
          <w:rFonts w:ascii="Calibri" w:eastAsia="Calibri" w:hAnsi="Calibri" w:cs="Calibri"/>
          <w:b/>
          <w:color w:val="1F4E79"/>
          <w:sz w:val="28"/>
          <w:szCs w:val="28"/>
        </w:rPr>
        <w:t>%</w:t>
      </w:r>
      <w:r w:rsidR="00F21BC5">
        <w:rPr>
          <w:rFonts w:ascii="Calibri" w:eastAsia="Calibri" w:hAnsi="Calibri" w:cs="Calibri"/>
          <w:b/>
          <w:color w:val="1F4E79"/>
          <w:sz w:val="28"/>
          <w:szCs w:val="28"/>
        </w:rPr>
        <w:t xml:space="preserve"> </w:t>
      </w:r>
    </w:p>
    <w:p w14:paraId="4A291144" w14:textId="0FE0A885" w:rsidR="0061372F" w:rsidRPr="00982779" w:rsidRDefault="0061372F" w:rsidP="00A96376">
      <w:pPr>
        <w:jc w:val="center"/>
        <w:rPr>
          <w:rFonts w:ascii="Calibri" w:eastAsia="Calibri" w:hAnsi="Calibri" w:cs="Calibri"/>
          <w:b/>
          <w:color w:val="1F4E79"/>
          <w:sz w:val="28"/>
          <w:szCs w:val="28"/>
        </w:rPr>
      </w:pPr>
      <w:r w:rsidRPr="00982779">
        <w:rPr>
          <w:rFonts w:ascii="Calibri" w:eastAsia="Calibri" w:hAnsi="Calibri" w:cs="Calibri"/>
          <w:b/>
          <w:color w:val="1F4E79"/>
          <w:sz w:val="28"/>
          <w:szCs w:val="28"/>
        </w:rPr>
        <w:t xml:space="preserve">Rapporto di Sostenibilità Revisionato e certificato </w:t>
      </w:r>
      <w:r w:rsidR="004C2D30" w:rsidRPr="00982779">
        <w:rPr>
          <w:rFonts w:ascii="Calibri" w:eastAsia="Calibri" w:hAnsi="Calibri" w:cs="Calibri"/>
          <w:b/>
          <w:color w:val="1F4E79"/>
          <w:sz w:val="28"/>
          <w:szCs w:val="28"/>
        </w:rPr>
        <w:t>LCA</w:t>
      </w:r>
    </w:p>
    <w:p w14:paraId="2EFEBEE2" w14:textId="77777777" w:rsidR="00D56134" w:rsidRDefault="00D56134" w:rsidP="00A96376">
      <w:pPr>
        <w:jc w:val="center"/>
        <w:rPr>
          <w:rFonts w:ascii="Calibri" w:eastAsia="Calibri" w:hAnsi="Calibri" w:cs="Calibri"/>
          <w:b/>
          <w:color w:val="1F4E79"/>
          <w:sz w:val="28"/>
          <w:szCs w:val="28"/>
        </w:rPr>
      </w:pPr>
    </w:p>
    <w:p w14:paraId="39C7A871" w14:textId="77777777" w:rsidR="00A96376" w:rsidRPr="008355CC" w:rsidRDefault="00A96376" w:rsidP="00A96376">
      <w:pPr>
        <w:jc w:val="center"/>
        <w:rPr>
          <w:rFonts w:ascii="Calibri" w:eastAsia="Calibri" w:hAnsi="Calibri" w:cs="Calibri"/>
          <w:b/>
          <w:color w:val="1F4E79"/>
          <w:sz w:val="28"/>
          <w:szCs w:val="28"/>
        </w:rPr>
      </w:pPr>
    </w:p>
    <w:p w14:paraId="7034CE91" w14:textId="7D9277BC" w:rsidR="00D56134" w:rsidRDefault="00D56134" w:rsidP="00C14CA5">
      <w:pPr>
        <w:ind w:left="-142" w:right="-143"/>
        <w:jc w:val="center"/>
        <w:rPr>
          <w:i/>
        </w:rPr>
      </w:pPr>
      <w:r>
        <w:rPr>
          <w:i/>
        </w:rPr>
        <w:t>Nel 2024 confermata percentuale rigenerazione all’</w:t>
      </w:r>
      <w:r w:rsidR="009E0791">
        <w:rPr>
          <w:i/>
        </w:rPr>
        <w:t>98</w:t>
      </w:r>
      <w:r>
        <w:rPr>
          <w:i/>
        </w:rPr>
        <w:t>% contro la media UE del 61%.</w:t>
      </w:r>
      <w:r w:rsidR="00B40C6F">
        <w:rPr>
          <w:i/>
        </w:rPr>
        <w:br/>
      </w:r>
      <w:r>
        <w:rPr>
          <w:i/>
        </w:rPr>
        <w:t>Cresce la</w:t>
      </w:r>
      <w:r w:rsidR="005D47D8">
        <w:rPr>
          <w:i/>
        </w:rPr>
        <w:t xml:space="preserve"> quantità raccolta nonostante il calo del 2% del mercato</w:t>
      </w:r>
      <w:r w:rsidR="00A96376">
        <w:rPr>
          <w:i/>
        </w:rPr>
        <w:t>.</w:t>
      </w:r>
    </w:p>
    <w:p w14:paraId="3B95D802" w14:textId="2EBB603C" w:rsidR="00A96376" w:rsidRDefault="009E0791" w:rsidP="00C14CA5">
      <w:pPr>
        <w:ind w:left="-142" w:right="-143"/>
        <w:jc w:val="center"/>
        <w:rPr>
          <w:i/>
        </w:rPr>
      </w:pPr>
      <w:r>
        <w:rPr>
          <w:i/>
        </w:rPr>
        <w:t xml:space="preserve">Piunti: “L’olio </w:t>
      </w:r>
      <w:r w:rsidR="0061372F" w:rsidRPr="00B40C6F">
        <w:rPr>
          <w:i/>
        </w:rPr>
        <w:t xml:space="preserve">rigenerato </w:t>
      </w:r>
      <w:r>
        <w:rPr>
          <w:i/>
        </w:rPr>
        <w:t xml:space="preserve">che restituiamo è della stessa qualità di quello vergine e a </w:t>
      </w:r>
      <w:r w:rsidRPr="00C14CA5">
        <w:rPr>
          <w:i/>
        </w:rPr>
        <w:t>prezzi</w:t>
      </w:r>
      <w:r w:rsidR="0061372F" w:rsidRPr="00C14CA5">
        <w:rPr>
          <w:i/>
        </w:rPr>
        <w:t xml:space="preserve"> di mercato</w:t>
      </w:r>
      <w:r w:rsidRPr="00C14CA5">
        <w:rPr>
          <w:i/>
        </w:rPr>
        <w:t>”</w:t>
      </w:r>
      <w:r>
        <w:rPr>
          <w:i/>
        </w:rPr>
        <w:t xml:space="preserve">. </w:t>
      </w:r>
      <w:r w:rsidR="00D56134">
        <w:rPr>
          <w:i/>
        </w:rPr>
        <w:t>Per l</w:t>
      </w:r>
      <w:r w:rsidR="00D56134" w:rsidRPr="00C14CA5">
        <w:rPr>
          <w:i/>
        </w:rPr>
        <w:t>a prima volta</w:t>
      </w:r>
      <w:r w:rsidR="0061372F" w:rsidRPr="00C14CA5">
        <w:rPr>
          <w:i/>
        </w:rPr>
        <w:t>, oltre alla Revisione degli auditor,</w:t>
      </w:r>
      <w:r w:rsidR="00D56134" w:rsidRPr="00C14CA5">
        <w:rPr>
          <w:i/>
        </w:rPr>
        <w:t xml:space="preserve"> certificata l’analisi Life </w:t>
      </w:r>
      <w:proofErr w:type="spellStart"/>
      <w:r w:rsidR="00D56134" w:rsidRPr="00C14CA5">
        <w:rPr>
          <w:i/>
        </w:rPr>
        <w:t>Cycle</w:t>
      </w:r>
      <w:proofErr w:type="spellEnd"/>
      <w:r w:rsidR="00D56134" w:rsidRPr="00C14CA5">
        <w:rPr>
          <w:i/>
        </w:rPr>
        <w:t xml:space="preserve"> </w:t>
      </w:r>
      <w:proofErr w:type="spellStart"/>
      <w:r w:rsidR="00D56134">
        <w:rPr>
          <w:i/>
        </w:rPr>
        <w:t>Assessment</w:t>
      </w:r>
      <w:proofErr w:type="spellEnd"/>
      <w:r w:rsidR="00D56134">
        <w:rPr>
          <w:i/>
        </w:rPr>
        <w:t xml:space="preserve"> </w:t>
      </w:r>
    </w:p>
    <w:p w14:paraId="73EB2F80" w14:textId="41EC5445" w:rsidR="00A96376" w:rsidRDefault="00A96376" w:rsidP="00A96376">
      <w:pPr>
        <w:jc w:val="both"/>
      </w:pPr>
    </w:p>
    <w:p w14:paraId="4C62190C" w14:textId="77777777" w:rsidR="00C14CA5" w:rsidRDefault="00C14CA5" w:rsidP="00A96376">
      <w:pPr>
        <w:jc w:val="both"/>
      </w:pPr>
    </w:p>
    <w:p w14:paraId="541AA490" w14:textId="14494946" w:rsidR="006E572F" w:rsidRPr="000B32DD" w:rsidRDefault="00A96376" w:rsidP="006E572F">
      <w:pPr>
        <w:jc w:val="both"/>
      </w:pPr>
      <w:r>
        <w:t xml:space="preserve">Roma, </w:t>
      </w:r>
      <w:r w:rsidR="009E0791">
        <w:t>24</w:t>
      </w:r>
      <w:r>
        <w:t xml:space="preserve"> </w:t>
      </w:r>
      <w:r w:rsidR="009E0791">
        <w:t>giugno</w:t>
      </w:r>
      <w:r>
        <w:t xml:space="preserve"> 202</w:t>
      </w:r>
      <w:r w:rsidR="009E0791">
        <w:t>5</w:t>
      </w:r>
      <w:r>
        <w:t xml:space="preserve">. </w:t>
      </w:r>
      <w:r w:rsidR="009E0791">
        <w:t xml:space="preserve">Mantenere è più difficile che conquistare, soprattutto se il livello e la qualità sono (certificati) di alto livello. Con il 100% della raccolta e </w:t>
      </w:r>
      <w:r w:rsidR="0061372F" w:rsidRPr="0081135E">
        <w:t xml:space="preserve">oltre </w:t>
      </w:r>
      <w:r w:rsidR="009E0791">
        <w:t xml:space="preserve">il 98% di rigenerazione, la filiera italiana degli oli </w:t>
      </w:r>
      <w:r w:rsidR="00685E72">
        <w:t xml:space="preserve">minerali </w:t>
      </w:r>
      <w:r w:rsidR="009E0791">
        <w:t>usati</w:t>
      </w:r>
      <w:r w:rsidR="001D7FEE">
        <w:t>,</w:t>
      </w:r>
      <w:r w:rsidR="009E0791">
        <w:t xml:space="preserve"> </w:t>
      </w:r>
      <w:r w:rsidR="0061372F" w:rsidRPr="0081135E">
        <w:t xml:space="preserve">guidata </w:t>
      </w:r>
      <w:r w:rsidR="009E0791">
        <w:t xml:space="preserve">e vigliata sin dagli anni ’80 dal consorzio </w:t>
      </w:r>
      <w:r w:rsidR="00765618">
        <w:t>CONOU</w:t>
      </w:r>
      <w:r w:rsidR="001D7FEE">
        <w:t>,</w:t>
      </w:r>
      <w:r w:rsidR="009E0791">
        <w:t xml:space="preserve"> conferma ampiamente il proprio ruolo di leadership nel mercato UE, dove la media è ferma al 61%.</w:t>
      </w:r>
      <w:r w:rsidR="006E572F">
        <w:t xml:space="preserve"> </w:t>
      </w:r>
    </w:p>
    <w:p w14:paraId="28ACEB9C" w14:textId="1D2809DF" w:rsidR="009E0791" w:rsidRDefault="009E0791" w:rsidP="00A96376">
      <w:pPr>
        <w:jc w:val="both"/>
      </w:pPr>
    </w:p>
    <w:p w14:paraId="142F6BB8" w14:textId="6D8B0A48" w:rsidR="00297C34" w:rsidRPr="0081135E" w:rsidRDefault="009E0791" w:rsidP="00A96376">
      <w:pPr>
        <w:jc w:val="both"/>
      </w:pPr>
      <w:r w:rsidRPr="0096773D">
        <w:t xml:space="preserve">Il </w:t>
      </w:r>
      <w:r w:rsidR="00A96376" w:rsidRPr="0096773D">
        <w:t>Rapporto di Sostenibilità 202</w:t>
      </w:r>
      <w:r w:rsidRPr="0096773D">
        <w:t>4</w:t>
      </w:r>
      <w:r w:rsidR="00A96376">
        <w:t xml:space="preserve"> </w:t>
      </w:r>
      <w:r w:rsidR="0096773D">
        <w:t>di CONOU,</w:t>
      </w:r>
      <w:r w:rsidR="00765618">
        <w:t xml:space="preserve"> per la prima volta </w:t>
      </w:r>
      <w:r w:rsidR="00765618" w:rsidRPr="0081135E">
        <w:t xml:space="preserve">certificato </w:t>
      </w:r>
      <w:r w:rsidR="0061372F" w:rsidRPr="0081135E">
        <w:t xml:space="preserve">anche nella </w:t>
      </w:r>
      <w:r w:rsidR="00765618">
        <w:t xml:space="preserve">analisi Life </w:t>
      </w:r>
      <w:proofErr w:type="spellStart"/>
      <w:r w:rsidR="00765618">
        <w:t>Cycle</w:t>
      </w:r>
      <w:proofErr w:type="spellEnd"/>
      <w:r w:rsidR="00765618">
        <w:t xml:space="preserve"> </w:t>
      </w:r>
      <w:proofErr w:type="spellStart"/>
      <w:r w:rsidR="00765618">
        <w:t>Assessment</w:t>
      </w:r>
      <w:proofErr w:type="spellEnd"/>
      <w:r w:rsidR="00765618">
        <w:t xml:space="preserve"> (</w:t>
      </w:r>
      <w:r w:rsidR="00765618" w:rsidRPr="00765618">
        <w:t>ISO 14040 e ISO 14044</w:t>
      </w:r>
      <w:r w:rsidR="00765618">
        <w:t>)</w:t>
      </w:r>
      <w:r w:rsidR="0096773D">
        <w:t>,</w:t>
      </w:r>
      <w:r w:rsidR="00765618">
        <w:t xml:space="preserve"> </w:t>
      </w:r>
      <w:r w:rsidR="00297C34">
        <w:t>sottolinea anche la crescita delle quantità raccolte</w:t>
      </w:r>
      <w:r w:rsidR="00C17CB0">
        <w:t>:</w:t>
      </w:r>
      <w:r w:rsidR="00297C34">
        <w:t xml:space="preserve"> 188mila tonnellate contro le 183mila tonnellate del 2023</w:t>
      </w:r>
      <w:r w:rsidR="00C17CB0">
        <w:t>,</w:t>
      </w:r>
      <w:r w:rsidR="00297C34">
        <w:t xml:space="preserve"> nonostante il calo del 2% del </w:t>
      </w:r>
      <w:r w:rsidR="00297C34" w:rsidRPr="0081135E">
        <w:t>mercato</w:t>
      </w:r>
      <w:r w:rsidR="0061372F" w:rsidRPr="0081135E">
        <w:t xml:space="preserve"> grazie all’impulso dei nostri Concessionari a recuperare ovunque anche “l’ultima goccia”</w:t>
      </w:r>
      <w:r w:rsidR="00297C34" w:rsidRPr="0081135E">
        <w:t xml:space="preserve">. </w:t>
      </w:r>
    </w:p>
    <w:p w14:paraId="2435E281" w14:textId="77777777" w:rsidR="00297C34" w:rsidRDefault="00297C34" w:rsidP="00A96376">
      <w:pPr>
        <w:jc w:val="both"/>
      </w:pPr>
    </w:p>
    <w:p w14:paraId="2CB25ACD" w14:textId="77777777" w:rsidR="0061372F" w:rsidRPr="0081135E" w:rsidRDefault="00297C34" w:rsidP="006120FA">
      <w:pPr>
        <w:jc w:val="both"/>
        <w:rPr>
          <w:i/>
          <w:iCs/>
        </w:rPr>
      </w:pPr>
      <w:r w:rsidRPr="0096773D">
        <w:rPr>
          <w:i/>
          <w:iCs/>
        </w:rPr>
        <w:t>“</w:t>
      </w:r>
      <w:r w:rsidR="00255B3F" w:rsidRPr="0096773D">
        <w:rPr>
          <w:i/>
          <w:iCs/>
        </w:rPr>
        <w:t xml:space="preserve">La nostra attività di garanti sulla filiera è ispirata a principi di </w:t>
      </w:r>
      <w:r w:rsidR="00872BDA" w:rsidRPr="0096773D">
        <w:rPr>
          <w:i/>
          <w:iCs/>
        </w:rPr>
        <w:t>q</w:t>
      </w:r>
      <w:r w:rsidR="00872BDA" w:rsidRPr="000B32DD">
        <w:rPr>
          <w:i/>
          <w:iCs/>
        </w:rPr>
        <w:t xml:space="preserve">ualità, </w:t>
      </w:r>
      <w:r w:rsidR="00872BDA" w:rsidRPr="0096773D">
        <w:rPr>
          <w:i/>
          <w:iCs/>
        </w:rPr>
        <w:t>e</w:t>
      </w:r>
      <w:r w:rsidR="00872BDA" w:rsidRPr="000B32DD">
        <w:rPr>
          <w:i/>
          <w:iCs/>
        </w:rPr>
        <w:t xml:space="preserve">quità, </w:t>
      </w:r>
      <w:r w:rsidR="00872BDA" w:rsidRPr="0096773D">
        <w:rPr>
          <w:i/>
          <w:iCs/>
        </w:rPr>
        <w:t>c</w:t>
      </w:r>
      <w:r w:rsidR="00872BDA" w:rsidRPr="000B32DD">
        <w:rPr>
          <w:i/>
          <w:iCs/>
        </w:rPr>
        <w:t xml:space="preserve">ontrollo e </w:t>
      </w:r>
      <w:r w:rsidR="00872BDA" w:rsidRPr="0096773D">
        <w:rPr>
          <w:i/>
          <w:iCs/>
        </w:rPr>
        <w:t>f</w:t>
      </w:r>
      <w:r w:rsidR="00872BDA" w:rsidRPr="000B32DD">
        <w:rPr>
          <w:i/>
          <w:iCs/>
        </w:rPr>
        <w:t>iducia</w:t>
      </w:r>
      <w:r w:rsidR="00255B3F" w:rsidRPr="0096773D">
        <w:rPr>
          <w:i/>
          <w:iCs/>
        </w:rPr>
        <w:t xml:space="preserve"> </w:t>
      </w:r>
      <w:r w:rsidR="00C21FA7" w:rsidRPr="0096773D">
        <w:t>–</w:t>
      </w:r>
      <w:r w:rsidRPr="0096773D">
        <w:t xml:space="preserve"> </w:t>
      </w:r>
      <w:r w:rsidR="00255B3F" w:rsidRPr="0096773D">
        <w:t>afferma</w:t>
      </w:r>
      <w:r w:rsidRPr="0096773D">
        <w:t xml:space="preserve"> il Presidente del CONOU Riccardo Piunti</w:t>
      </w:r>
      <w:r w:rsidR="00872BDA" w:rsidRPr="0096773D">
        <w:t xml:space="preserve"> –</w:t>
      </w:r>
      <w:r w:rsidR="00872BDA" w:rsidRPr="0096773D">
        <w:rPr>
          <w:i/>
          <w:iCs/>
        </w:rPr>
        <w:t xml:space="preserve"> e questo permette di </w:t>
      </w:r>
      <w:r w:rsidR="006E572F" w:rsidRPr="0096773D">
        <w:rPr>
          <w:i/>
          <w:iCs/>
        </w:rPr>
        <w:t>ottenere trasparenza e tracciabilità</w:t>
      </w:r>
      <w:r w:rsidR="00872BDA" w:rsidRPr="0096773D">
        <w:rPr>
          <w:i/>
          <w:iCs/>
        </w:rPr>
        <w:t xml:space="preserve">. </w:t>
      </w:r>
      <w:r w:rsidR="0061372F" w:rsidRPr="0081135E">
        <w:rPr>
          <w:i/>
          <w:iCs/>
        </w:rPr>
        <w:t xml:space="preserve">Al centro c’è la Qualità: prestiamo grande attenzione alla gestione e alla qualità del rifiuto in entrata e quindi ci atteniamo a scrupolosi standard per l’olio rigenerato in uscita, che deve essere equivalente a quello di prima produzione petrolifera. </w:t>
      </w:r>
    </w:p>
    <w:p w14:paraId="134ECF4F" w14:textId="5851671B" w:rsidR="00C21FA7" w:rsidRPr="0081135E" w:rsidRDefault="0061372F" w:rsidP="006120FA">
      <w:pPr>
        <w:jc w:val="both"/>
        <w:rPr>
          <w:i/>
          <w:iCs/>
        </w:rPr>
      </w:pPr>
      <w:r w:rsidRPr="0081135E">
        <w:rPr>
          <w:i/>
          <w:iCs/>
        </w:rPr>
        <w:t xml:space="preserve">Tutto ciò continua a destare grande interesse da parte </w:t>
      </w:r>
      <w:r w:rsidR="006120FA" w:rsidRPr="006120FA">
        <w:rPr>
          <w:i/>
          <w:iCs/>
        </w:rPr>
        <w:t xml:space="preserve">di </w:t>
      </w:r>
      <w:r w:rsidR="006120FA" w:rsidRPr="0081135E">
        <w:rPr>
          <w:i/>
          <w:iCs/>
        </w:rPr>
        <w:t>Paesi sia europei che extraeuropei</w:t>
      </w:r>
      <w:r w:rsidRPr="0081135E">
        <w:rPr>
          <w:i/>
          <w:iCs/>
        </w:rPr>
        <w:t>, che vogliono approfondire i nostri standard e il nostro modo di funzionare: noi</w:t>
      </w:r>
      <w:r w:rsidR="006120FA" w:rsidRPr="0081135E">
        <w:rPr>
          <w:i/>
          <w:iCs/>
        </w:rPr>
        <w:t xml:space="preserve"> siamo a disposizione di tutti per esportar</w:t>
      </w:r>
      <w:r w:rsidRPr="0081135E">
        <w:rPr>
          <w:i/>
          <w:iCs/>
        </w:rPr>
        <w:t xml:space="preserve">e il </w:t>
      </w:r>
      <w:r w:rsidR="00AE00E7">
        <w:rPr>
          <w:i/>
          <w:iCs/>
        </w:rPr>
        <w:t>‘</w:t>
      </w:r>
      <w:r w:rsidRPr="0081135E">
        <w:rPr>
          <w:i/>
          <w:iCs/>
        </w:rPr>
        <w:t>modello CONOU</w:t>
      </w:r>
      <w:r w:rsidR="00AE00E7">
        <w:rPr>
          <w:i/>
          <w:iCs/>
        </w:rPr>
        <w:t>’</w:t>
      </w:r>
      <w:r w:rsidRPr="0081135E">
        <w:rPr>
          <w:i/>
          <w:iCs/>
        </w:rPr>
        <w:t>”</w:t>
      </w:r>
      <w:r w:rsidR="006120FA" w:rsidRPr="0081135E">
        <w:rPr>
          <w:i/>
          <w:iCs/>
        </w:rPr>
        <w:t>.</w:t>
      </w:r>
    </w:p>
    <w:p w14:paraId="2EEE63E8" w14:textId="77777777" w:rsidR="00C21FA7" w:rsidRDefault="00C21FA7" w:rsidP="00872BDA">
      <w:pPr>
        <w:tabs>
          <w:tab w:val="num" w:pos="720"/>
        </w:tabs>
        <w:jc w:val="both"/>
        <w:rPr>
          <w:i/>
          <w:iCs/>
        </w:rPr>
      </w:pPr>
    </w:p>
    <w:p w14:paraId="1F6907C7" w14:textId="56B69D5C" w:rsidR="006E572F" w:rsidRPr="007D0F3C" w:rsidRDefault="006E572F" w:rsidP="006E572F">
      <w:pPr>
        <w:jc w:val="both"/>
      </w:pPr>
      <w:r>
        <w:t>La filiera Conou è composta</w:t>
      </w:r>
      <w:r w:rsidRPr="000B32DD">
        <w:t xml:space="preserve"> da 58 Concessionari e 2 Imprese di Rigenerazione</w:t>
      </w:r>
      <w:r w:rsidRPr="0096773D">
        <w:t xml:space="preserve"> e</w:t>
      </w:r>
      <w:r w:rsidRPr="000B32DD">
        <w:t xml:space="preserve"> </w:t>
      </w:r>
      <w:r w:rsidR="001D2330">
        <w:t>i</w:t>
      </w:r>
      <w:r w:rsidRPr="000B32DD">
        <w:t xml:space="preserve"> processi adottati hanno permesso di trasformare un rifiuto pericoloso in nuove basi lubrificanti di elevata qualità, riducendo al minimo il ricorso a termodistruzione e combustione, che insieme hanno interessato meno dell’1,5% del totale.</w:t>
      </w:r>
      <w:r>
        <w:t xml:space="preserve"> </w:t>
      </w:r>
      <w:r w:rsidRPr="000B32DD">
        <w:t>Nel 2024 sono stati eseguiti 6.907 conferimenti presso oltre 103.000</w:t>
      </w:r>
      <w:r w:rsidRPr="000B32DD">
        <w:rPr>
          <w:b/>
          <w:bCs/>
        </w:rPr>
        <w:t xml:space="preserve"> </w:t>
      </w:r>
      <w:r w:rsidRPr="000B32DD">
        <w:t xml:space="preserve">produttori e siti in tutta Italia, il 12% proveniente dall’industria e l’88% da officine meccaniche. La </w:t>
      </w:r>
      <w:r w:rsidRPr="007D0F3C">
        <w:t>raccolta è stata svolta con 673 automezzi, per un totale di 25,1 milioni di km percorsi.</w:t>
      </w:r>
    </w:p>
    <w:p w14:paraId="1DC42A78" w14:textId="1DC85F8A" w:rsidR="006E572F" w:rsidRPr="007D0F3C" w:rsidRDefault="006E572F" w:rsidP="006E572F">
      <w:pPr>
        <w:jc w:val="both"/>
      </w:pPr>
      <w:r w:rsidRPr="007D0F3C">
        <w:t xml:space="preserve">Oltre il </w:t>
      </w:r>
      <w:r w:rsidR="000D7C9A" w:rsidRPr="007D0F3C">
        <w:t>56</w:t>
      </w:r>
      <w:r w:rsidRPr="007D0F3C">
        <w:t>% del totale raccolto arriva dal Nord e vede in cima alla lista delle regioni produttrici la Lombardia (</w:t>
      </w:r>
      <w:r w:rsidR="000D7C9A" w:rsidRPr="007D0F3C">
        <w:t>21%</w:t>
      </w:r>
      <w:r w:rsidRPr="007D0F3C">
        <w:t>) seguita dal Veneto (1</w:t>
      </w:r>
      <w:r w:rsidR="000D7C9A" w:rsidRPr="007D0F3C">
        <w:t>1</w:t>
      </w:r>
      <w:r w:rsidRPr="007D0F3C">
        <w:t xml:space="preserve">%); le regioni del Centro contribuiscono con una raccolta del 18% (solo dal Lazio arriva il 7% </w:t>
      </w:r>
      <w:r w:rsidR="000D7C9A" w:rsidRPr="007D0F3C">
        <w:t xml:space="preserve">e </w:t>
      </w:r>
      <w:r w:rsidRPr="007D0F3C">
        <w:t>la Campania che ne raccoglie</w:t>
      </w:r>
      <w:r w:rsidR="000D7C9A" w:rsidRPr="007D0F3C">
        <w:t xml:space="preserve"> l’8%</w:t>
      </w:r>
      <w:r w:rsidRPr="007D0F3C">
        <w:t>). Il Sud e le isole arrivano al 2</w:t>
      </w:r>
      <w:r w:rsidR="000D7C9A" w:rsidRPr="007D0F3C">
        <w:t>6</w:t>
      </w:r>
      <w:r w:rsidRPr="007D0F3C">
        <w:t>%.</w:t>
      </w:r>
    </w:p>
    <w:p w14:paraId="514753D2" w14:textId="5C6384BF" w:rsidR="0096773D" w:rsidRDefault="0096773D" w:rsidP="006E572F">
      <w:pPr>
        <w:jc w:val="both"/>
      </w:pPr>
      <w:r>
        <w:lastRenderedPageBreak/>
        <w:t>A proposito dei mezzi</w:t>
      </w:r>
      <w:r w:rsidRPr="000B32DD">
        <w:t>,</w:t>
      </w:r>
      <w:r>
        <w:t xml:space="preserve"> nell’ambito della strategia di decarbonizzazione della filiera,</w:t>
      </w:r>
      <w:r w:rsidRPr="000B32DD">
        <w:t xml:space="preserve"> il Consorzio ha avviato un’iniziativa di promozione </w:t>
      </w:r>
      <w:r>
        <w:t xml:space="preserve">su base volontaria </w:t>
      </w:r>
      <w:r w:rsidRPr="000B32DD">
        <w:t>dell’utilizzo di HVO (</w:t>
      </w:r>
      <w:proofErr w:type="spellStart"/>
      <w:r w:rsidRPr="000B32DD">
        <w:t>Hydrotreated</w:t>
      </w:r>
      <w:proofErr w:type="spellEnd"/>
      <w:r w:rsidRPr="000B32DD">
        <w:t xml:space="preserve"> </w:t>
      </w:r>
      <w:proofErr w:type="spellStart"/>
      <w:r w:rsidRPr="000B32DD">
        <w:t>Vegetable</w:t>
      </w:r>
      <w:proofErr w:type="spellEnd"/>
      <w:r w:rsidRPr="000B32DD">
        <w:t xml:space="preserve"> Oil) come alternativa al gasolio tradizionale nei </w:t>
      </w:r>
      <w:r>
        <w:t>veicoli</w:t>
      </w:r>
      <w:r w:rsidRPr="000B32DD">
        <w:t xml:space="preserve"> d</w:t>
      </w:r>
      <w:r>
        <w:t>ei concessionari di</w:t>
      </w:r>
      <w:r w:rsidRPr="000B32DD">
        <w:t xml:space="preserve"> raccolta</w:t>
      </w:r>
      <w:r>
        <w:t>.</w:t>
      </w:r>
    </w:p>
    <w:p w14:paraId="6CC3A5E2" w14:textId="1B5C1917" w:rsidR="006E572F" w:rsidRPr="000B32DD" w:rsidRDefault="006E572F" w:rsidP="006E572F">
      <w:pPr>
        <w:jc w:val="both"/>
      </w:pPr>
    </w:p>
    <w:p w14:paraId="0B91D552" w14:textId="48EC45BD" w:rsidR="00297C34" w:rsidRDefault="00297C34" w:rsidP="00255B3F">
      <w:pPr>
        <w:tabs>
          <w:tab w:val="num" w:pos="720"/>
        </w:tabs>
        <w:jc w:val="both"/>
      </w:pPr>
      <w:r w:rsidRPr="00C34879">
        <w:t xml:space="preserve">Stimati </w:t>
      </w:r>
      <w:r w:rsidR="00872BDA" w:rsidRPr="00C34879">
        <w:t xml:space="preserve">e certificati </w:t>
      </w:r>
      <w:r w:rsidRPr="00C34879">
        <w:t xml:space="preserve">i vantaggi </w:t>
      </w:r>
      <w:r w:rsidR="00255B3F" w:rsidRPr="00C34879">
        <w:t>per l’ambiente e la salute</w:t>
      </w:r>
      <w:r w:rsidR="00B31887" w:rsidRPr="00C34879">
        <w:t>,</w:t>
      </w:r>
      <w:r w:rsidR="00255B3F" w:rsidRPr="00C34879">
        <w:t xml:space="preserve"> grazie alla raccolta</w:t>
      </w:r>
      <w:r w:rsidR="00EC60CE" w:rsidRPr="00EC60CE">
        <w:t xml:space="preserve"> </w:t>
      </w:r>
      <w:r w:rsidR="00EC60CE">
        <w:t>e alla rigenerazione rispetto al ciclo lineare che non prevede alcuna rigenerazione e riuso degli oli minerali usati</w:t>
      </w:r>
      <w:r w:rsidR="00B31887" w:rsidRPr="00C34879">
        <w:t>,</w:t>
      </w:r>
      <w:r w:rsidR="00255B3F" w:rsidRPr="00C34879">
        <w:t xml:space="preserve"> con</w:t>
      </w:r>
      <w:r w:rsidRPr="00C34879">
        <w:t xml:space="preserve"> </w:t>
      </w:r>
      <w:r w:rsidR="00255B3F" w:rsidRPr="00C34879">
        <w:t>o</w:t>
      </w:r>
      <w:r w:rsidRPr="00C34879">
        <w:t>ltre 90 mila tonnellate di CO₂ equivalente</w:t>
      </w:r>
      <w:r w:rsidR="00C17CB0" w:rsidRPr="00C34879">
        <w:t xml:space="preserve"> evitate</w:t>
      </w:r>
      <w:r w:rsidR="00255B3F" w:rsidRPr="00C34879">
        <w:t xml:space="preserve"> </w:t>
      </w:r>
      <w:r w:rsidR="00F54B09">
        <w:t>(-</w:t>
      </w:r>
      <w:r w:rsidRPr="00C34879">
        <w:t>45%</w:t>
      </w:r>
      <w:r w:rsidR="00F54B09">
        <w:t xml:space="preserve"> rispetto al ciclo lineare)</w:t>
      </w:r>
      <w:r w:rsidRPr="00C34879">
        <w:t>;</w:t>
      </w:r>
      <w:r w:rsidR="00255B3F" w:rsidRPr="00C34879">
        <w:t xml:space="preserve"> o</w:t>
      </w:r>
      <w:r w:rsidRPr="00C34879">
        <w:t>ltre 7,4 milioni di GJ di combustibili fossili risparmiati (-85%);</w:t>
      </w:r>
      <w:r w:rsidR="00255B3F" w:rsidRPr="00C34879">
        <w:t xml:space="preserve"> c</w:t>
      </w:r>
      <w:r w:rsidRPr="00C34879">
        <w:t>irca 49 milioni di m³ di acqua risparmiata (-85%);</w:t>
      </w:r>
      <w:r w:rsidR="00255B3F" w:rsidRPr="00C34879">
        <w:t xml:space="preserve"> o</w:t>
      </w:r>
      <w:r w:rsidRPr="00C34879">
        <w:t>ltre 655 milioni di suolo “qualitativamente” preservato (-91%)</w:t>
      </w:r>
      <w:r w:rsidR="00255B3F" w:rsidRPr="00C34879">
        <w:t>; r</w:t>
      </w:r>
      <w:r w:rsidRPr="00C34879">
        <w:t xml:space="preserve">iduzione </w:t>
      </w:r>
      <w:r w:rsidR="00255B3F" w:rsidRPr="00C34879">
        <w:t>del</w:t>
      </w:r>
      <w:r w:rsidRPr="00C34879">
        <w:t xml:space="preserve"> 42% </w:t>
      </w:r>
      <w:r w:rsidR="00255B3F" w:rsidRPr="00C34879">
        <w:t xml:space="preserve">degli </w:t>
      </w:r>
      <w:r w:rsidRPr="00C34879">
        <w:t xml:space="preserve">impatti cancerogeni e </w:t>
      </w:r>
      <w:r w:rsidR="00255B3F" w:rsidRPr="00C34879">
        <w:t xml:space="preserve">del </w:t>
      </w:r>
      <w:r w:rsidRPr="00C34879">
        <w:t xml:space="preserve">86% </w:t>
      </w:r>
      <w:r w:rsidR="00255B3F" w:rsidRPr="00C34879">
        <w:t xml:space="preserve">dei </w:t>
      </w:r>
      <w:r w:rsidRPr="00C34879">
        <w:t>non cancerogeni</w:t>
      </w:r>
      <w:r w:rsidR="00255B3F" w:rsidRPr="00C34879">
        <w:t xml:space="preserve"> e o</w:t>
      </w:r>
      <w:r w:rsidRPr="00C34879">
        <w:t>ltre 8 unità di incidenza malattie/particolato evitate, con una riduzione del 91%</w:t>
      </w:r>
      <w:r w:rsidR="00F54B09">
        <w:t>.</w:t>
      </w:r>
    </w:p>
    <w:p w14:paraId="61BE59C4" w14:textId="77777777" w:rsidR="006E572F" w:rsidRDefault="006E572F" w:rsidP="00255B3F">
      <w:pPr>
        <w:tabs>
          <w:tab w:val="num" w:pos="720"/>
        </w:tabs>
        <w:jc w:val="both"/>
      </w:pPr>
    </w:p>
    <w:p w14:paraId="0FC9CD43" w14:textId="1CCEA415" w:rsidR="0096773D" w:rsidRPr="000B32DD" w:rsidRDefault="00C17CB0" w:rsidP="0096773D">
      <w:pPr>
        <w:jc w:val="both"/>
      </w:pPr>
      <w:r>
        <w:t>Sul fronte</w:t>
      </w:r>
      <w:r w:rsidR="0096773D" w:rsidRPr="0096773D">
        <w:t xml:space="preserve"> economico</w:t>
      </w:r>
      <w:r>
        <w:t>-</w:t>
      </w:r>
      <w:r w:rsidR="0096773D" w:rsidRPr="0096773D">
        <w:t>sociale, n</w:t>
      </w:r>
      <w:r w:rsidR="0096773D" w:rsidRPr="000B32DD">
        <w:t>el 2024 il sistema CONOU ha generato un impatto diretto di oltre 73,4 milioni di euro</w:t>
      </w:r>
      <w:r>
        <w:t>, occupando</w:t>
      </w:r>
      <w:r w:rsidR="0096773D" w:rsidRPr="000B32DD">
        <w:t xml:space="preserve"> oltre 1.850 persone, con effetti </w:t>
      </w:r>
      <w:r>
        <w:t>positivi</w:t>
      </w:r>
      <w:r w:rsidR="0096773D" w:rsidRPr="000B32DD">
        <w:t xml:space="preserve"> in termini di coesione territoriale, inclusione sociale e sviluppo locale. Il sistema garantisce elevata stabilità occupazionale e presenza capillare sul territorio, contribuendo alla creazione di valore condiviso.</w:t>
      </w:r>
    </w:p>
    <w:p w14:paraId="3F3CC7EE" w14:textId="77777777" w:rsidR="0096773D" w:rsidRDefault="0096773D" w:rsidP="006E572F">
      <w:pPr>
        <w:jc w:val="both"/>
        <w:rPr>
          <w:i/>
          <w:iCs/>
        </w:rPr>
      </w:pPr>
    </w:p>
    <w:p w14:paraId="362F5BBC" w14:textId="329649E9" w:rsidR="00C21FA7" w:rsidRPr="00653505" w:rsidRDefault="0096773D" w:rsidP="006E572F">
      <w:pPr>
        <w:jc w:val="both"/>
        <w:rPr>
          <w:i/>
          <w:iCs/>
        </w:rPr>
      </w:pPr>
      <w:r w:rsidRPr="00653505">
        <w:rPr>
          <w:i/>
          <w:iCs/>
        </w:rPr>
        <w:t>“</w:t>
      </w:r>
      <w:r w:rsidR="00C17CB0" w:rsidRPr="00653505">
        <w:rPr>
          <w:i/>
          <w:iCs/>
        </w:rPr>
        <w:t>Siamo un consorzio indipendente e senza fine di lucro</w:t>
      </w:r>
      <w:r w:rsidRPr="00653505">
        <w:rPr>
          <w:i/>
          <w:iCs/>
        </w:rPr>
        <w:t xml:space="preserve"> </w:t>
      </w:r>
      <w:r w:rsidR="00C17CB0" w:rsidRPr="00653505">
        <w:t>–</w:t>
      </w:r>
      <w:r w:rsidRPr="00653505">
        <w:t xml:space="preserve"> ricorda il presidente Piunti –</w:t>
      </w:r>
      <w:r w:rsidRPr="00653505">
        <w:rPr>
          <w:i/>
          <w:iCs/>
        </w:rPr>
        <w:t xml:space="preserve"> </w:t>
      </w:r>
      <w:r w:rsidR="00C17CB0" w:rsidRPr="00653505">
        <w:rPr>
          <w:i/>
          <w:iCs/>
        </w:rPr>
        <w:t xml:space="preserve">e la raccolta non richiede contributi pubblici </w:t>
      </w:r>
      <w:r w:rsidRPr="00653505">
        <w:rPr>
          <w:i/>
          <w:iCs/>
        </w:rPr>
        <w:t>ma utilizza</w:t>
      </w:r>
      <w:r w:rsidR="006E572F" w:rsidRPr="00653505">
        <w:rPr>
          <w:i/>
          <w:iCs/>
        </w:rPr>
        <w:t xml:space="preserve"> risorse </w:t>
      </w:r>
      <w:r w:rsidRPr="00653505">
        <w:rPr>
          <w:i/>
          <w:iCs/>
        </w:rPr>
        <w:t>dei soli</w:t>
      </w:r>
      <w:r w:rsidR="00C21FA7" w:rsidRPr="00653505">
        <w:rPr>
          <w:i/>
          <w:iCs/>
        </w:rPr>
        <w:t xml:space="preserve"> </w:t>
      </w:r>
      <w:r w:rsidR="006E572F" w:rsidRPr="00653505">
        <w:rPr>
          <w:i/>
          <w:iCs/>
        </w:rPr>
        <w:t xml:space="preserve">soggetti </w:t>
      </w:r>
      <w:r w:rsidR="00C21FA7" w:rsidRPr="00653505">
        <w:rPr>
          <w:i/>
          <w:iCs/>
        </w:rPr>
        <w:t>consorziati</w:t>
      </w:r>
      <w:r w:rsidR="00C17CB0" w:rsidRPr="00653505">
        <w:rPr>
          <w:i/>
          <w:iCs/>
        </w:rPr>
        <w:t xml:space="preserve"> grazie al principio di Responsabilità Estesa del Produttore (EPR)</w:t>
      </w:r>
      <w:r w:rsidR="006E572F" w:rsidRPr="00653505">
        <w:rPr>
          <w:i/>
          <w:iCs/>
        </w:rPr>
        <w:t xml:space="preserve">. </w:t>
      </w:r>
      <w:r w:rsidR="000D7C9A" w:rsidRPr="00653505">
        <w:rPr>
          <w:i/>
          <w:iCs/>
        </w:rPr>
        <w:t xml:space="preserve">Guardiamo con attenzione alle nostre tante </w:t>
      </w:r>
      <w:r w:rsidR="00C21FA7" w:rsidRPr="00653505">
        <w:rPr>
          <w:i/>
          <w:iCs/>
        </w:rPr>
        <w:t xml:space="preserve">aziende familiari </w:t>
      </w:r>
      <w:r w:rsidR="000D7C9A" w:rsidRPr="00653505">
        <w:rPr>
          <w:i/>
          <w:iCs/>
        </w:rPr>
        <w:t xml:space="preserve">che affrontano un </w:t>
      </w:r>
      <w:r w:rsidR="00C21FA7" w:rsidRPr="00653505">
        <w:rPr>
          <w:i/>
          <w:iCs/>
        </w:rPr>
        <w:t>cambio generazionale</w:t>
      </w:r>
      <w:r w:rsidRPr="00653505">
        <w:rPr>
          <w:i/>
          <w:iCs/>
        </w:rPr>
        <w:t xml:space="preserve"> e cerc</w:t>
      </w:r>
      <w:r w:rsidR="000D7C9A" w:rsidRPr="00653505">
        <w:rPr>
          <w:i/>
          <w:iCs/>
        </w:rPr>
        <w:t>hiamo</w:t>
      </w:r>
      <w:r w:rsidRPr="00653505">
        <w:rPr>
          <w:i/>
          <w:iCs/>
        </w:rPr>
        <w:t xml:space="preserve"> di i</w:t>
      </w:r>
      <w:r w:rsidR="00C21FA7" w:rsidRPr="00653505">
        <w:rPr>
          <w:i/>
          <w:iCs/>
        </w:rPr>
        <w:t xml:space="preserve">ntegrare </w:t>
      </w:r>
      <w:r w:rsidR="000D7C9A" w:rsidRPr="00653505">
        <w:rPr>
          <w:i/>
          <w:iCs/>
        </w:rPr>
        <w:t xml:space="preserve">i </w:t>
      </w:r>
      <w:r w:rsidRPr="00653505">
        <w:rPr>
          <w:i/>
          <w:iCs/>
        </w:rPr>
        <w:t xml:space="preserve">potenziali </w:t>
      </w:r>
      <w:r w:rsidR="00C21FA7" w:rsidRPr="00653505">
        <w:rPr>
          <w:i/>
          <w:iCs/>
        </w:rPr>
        <w:t>nuovi attori</w:t>
      </w:r>
      <w:r w:rsidRPr="00653505">
        <w:rPr>
          <w:i/>
          <w:iCs/>
        </w:rPr>
        <w:t>. Nel frattempo</w:t>
      </w:r>
      <w:r w:rsidR="00C17CB0" w:rsidRPr="00653505">
        <w:rPr>
          <w:i/>
          <w:iCs/>
        </w:rPr>
        <w:t>,</w:t>
      </w:r>
      <w:r w:rsidRPr="00653505">
        <w:rPr>
          <w:i/>
          <w:iCs/>
        </w:rPr>
        <w:t xml:space="preserve"> c</w:t>
      </w:r>
      <w:r w:rsidR="00C21FA7" w:rsidRPr="00653505">
        <w:rPr>
          <w:i/>
          <w:iCs/>
        </w:rPr>
        <w:t>ontinu</w:t>
      </w:r>
      <w:r w:rsidRPr="00653505">
        <w:rPr>
          <w:i/>
          <w:iCs/>
        </w:rPr>
        <w:t>iamo</w:t>
      </w:r>
      <w:r w:rsidR="00C21FA7" w:rsidRPr="00653505">
        <w:rPr>
          <w:i/>
          <w:iCs/>
        </w:rPr>
        <w:t xml:space="preserve"> a reprimere l’evasione del contributo ambientale</w:t>
      </w:r>
      <w:r w:rsidR="000D7C9A" w:rsidRPr="00653505">
        <w:rPr>
          <w:i/>
          <w:iCs/>
        </w:rPr>
        <w:t xml:space="preserve"> fino all’ultimo </w:t>
      </w:r>
      <w:r w:rsidR="00653505" w:rsidRPr="00653505">
        <w:rPr>
          <w:i/>
          <w:iCs/>
        </w:rPr>
        <w:t>euro</w:t>
      </w:r>
      <w:r w:rsidR="006120FA" w:rsidRPr="00653505">
        <w:rPr>
          <w:i/>
          <w:iCs/>
        </w:rPr>
        <w:t>”.</w:t>
      </w:r>
    </w:p>
    <w:p w14:paraId="68DDB874" w14:textId="77777777" w:rsidR="00872BDA" w:rsidRDefault="00872BDA" w:rsidP="00A96376">
      <w:pPr>
        <w:jc w:val="both"/>
      </w:pPr>
    </w:p>
    <w:p w14:paraId="3EE211E6" w14:textId="36A0DE45" w:rsidR="000B32DD" w:rsidRPr="000D7C9A" w:rsidRDefault="000B32DD" w:rsidP="000B32DD">
      <w:pPr>
        <w:jc w:val="both"/>
        <w:rPr>
          <w:strike/>
        </w:rPr>
      </w:pPr>
      <w:r w:rsidRPr="000B32DD">
        <w:t xml:space="preserve">In un contesto normativo e sociale sempre più attento alla trasparenza, il CONOU </w:t>
      </w:r>
      <w:r w:rsidRPr="00653505">
        <w:t xml:space="preserve">ha </w:t>
      </w:r>
      <w:r w:rsidR="000D7C9A" w:rsidRPr="00653505">
        <w:t xml:space="preserve">continuato a </w:t>
      </w:r>
      <w:r w:rsidRPr="000B32DD">
        <w:t xml:space="preserve">rafforzare </w:t>
      </w:r>
      <w:r w:rsidRPr="00653505">
        <w:t>il proprio impegno in termini di</w:t>
      </w:r>
      <w:r w:rsidR="000D7C9A" w:rsidRPr="00653505">
        <w:t xml:space="preserve"> qualità, di</w:t>
      </w:r>
      <w:r w:rsidRPr="00653505">
        <w:t xml:space="preserve"> rendicontazione</w:t>
      </w:r>
      <w:r w:rsidR="000D7C9A" w:rsidRPr="00653505">
        <w:t xml:space="preserve"> e revisione/certificazione; il nostro Rapporto di Sostenibilità è un libro aperto sul passato, sul presente e sul futuro di questa Filiera di eccellenza</w:t>
      </w:r>
      <w:r w:rsidR="000D7C9A">
        <w:rPr>
          <w:color w:val="EE0000"/>
        </w:rPr>
        <w:t>.</w:t>
      </w:r>
    </w:p>
    <w:p w14:paraId="0C022808" w14:textId="77777777" w:rsidR="006E572F" w:rsidRPr="000B32DD" w:rsidRDefault="006E572F" w:rsidP="000B32DD">
      <w:pPr>
        <w:jc w:val="both"/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7"/>
        <w:gridCol w:w="3821"/>
      </w:tblGrid>
      <w:tr w:rsidR="0039230C" w14:paraId="729CCAF3" w14:textId="77777777" w:rsidTr="0039230C">
        <w:tc>
          <w:tcPr>
            <w:tcW w:w="5807" w:type="dxa"/>
          </w:tcPr>
          <w:p w14:paraId="421BF125" w14:textId="77777777" w:rsidR="0039230C" w:rsidRPr="000B32DD" w:rsidRDefault="0039230C" w:rsidP="0039230C">
            <w:pPr>
              <w:jc w:val="both"/>
              <w:rPr>
                <w:b/>
                <w:bCs/>
              </w:rPr>
            </w:pPr>
            <w:r w:rsidRPr="000B32DD">
              <w:rPr>
                <w:b/>
                <w:bCs/>
              </w:rPr>
              <w:t>I NUMERI DEL CONOU NEL 2024</w:t>
            </w:r>
          </w:p>
          <w:p w14:paraId="44FEE2B2" w14:textId="77777777" w:rsidR="0039230C" w:rsidRPr="000B32DD" w:rsidRDefault="0039230C" w:rsidP="0039230C">
            <w:pPr>
              <w:numPr>
                <w:ilvl w:val="0"/>
                <w:numId w:val="6"/>
              </w:numPr>
              <w:jc w:val="both"/>
            </w:pPr>
            <w:r w:rsidRPr="000B32DD">
              <w:t>58 Concessionari</w:t>
            </w:r>
          </w:p>
          <w:p w14:paraId="014BA0BB" w14:textId="77777777" w:rsidR="0039230C" w:rsidRPr="000B32DD" w:rsidRDefault="0039230C" w:rsidP="0039230C">
            <w:pPr>
              <w:numPr>
                <w:ilvl w:val="0"/>
                <w:numId w:val="6"/>
              </w:numPr>
              <w:jc w:val="both"/>
            </w:pPr>
            <w:proofErr w:type="gramStart"/>
            <w:r w:rsidRPr="000B32DD">
              <w:t>2</w:t>
            </w:r>
            <w:proofErr w:type="gramEnd"/>
            <w:r w:rsidRPr="000B32DD">
              <w:t xml:space="preserve"> imprese di rigenerazione</w:t>
            </w:r>
          </w:p>
          <w:p w14:paraId="4D61E626" w14:textId="77777777" w:rsidR="0039230C" w:rsidRPr="000B32DD" w:rsidRDefault="0039230C" w:rsidP="0039230C">
            <w:pPr>
              <w:numPr>
                <w:ilvl w:val="0"/>
                <w:numId w:val="6"/>
              </w:numPr>
              <w:jc w:val="both"/>
            </w:pPr>
            <w:proofErr w:type="gramStart"/>
            <w:r w:rsidRPr="000B32DD">
              <w:t>3</w:t>
            </w:r>
            <w:proofErr w:type="gramEnd"/>
            <w:r w:rsidRPr="000B32DD">
              <w:t xml:space="preserve"> impianti di rigenerazione</w:t>
            </w:r>
          </w:p>
          <w:p w14:paraId="3FC70CD5" w14:textId="77777777" w:rsidR="0039230C" w:rsidRPr="000B32DD" w:rsidRDefault="0039230C" w:rsidP="0039230C">
            <w:pPr>
              <w:numPr>
                <w:ilvl w:val="0"/>
                <w:numId w:val="6"/>
              </w:numPr>
              <w:jc w:val="both"/>
            </w:pPr>
            <w:r w:rsidRPr="000B32DD">
              <w:t>188 mila tonnellate di olio usato raccolte</w:t>
            </w:r>
          </w:p>
          <w:p w14:paraId="52442231" w14:textId="77777777" w:rsidR="0039230C" w:rsidRPr="000B32DD" w:rsidRDefault="0039230C" w:rsidP="0039230C">
            <w:pPr>
              <w:numPr>
                <w:ilvl w:val="0"/>
                <w:numId w:val="6"/>
              </w:numPr>
              <w:jc w:val="both"/>
            </w:pPr>
            <w:r w:rsidRPr="000B32DD">
              <w:t>185 mila tonnellate avviate a rigenerazione (98%)</w:t>
            </w:r>
          </w:p>
          <w:p w14:paraId="1AE09156" w14:textId="77777777" w:rsidR="0039230C" w:rsidRPr="000B32DD" w:rsidRDefault="0039230C" w:rsidP="0039230C">
            <w:pPr>
              <w:numPr>
                <w:ilvl w:val="0"/>
                <w:numId w:val="6"/>
              </w:numPr>
              <w:jc w:val="both"/>
            </w:pPr>
            <w:r w:rsidRPr="000B32DD">
              <w:t>2,4 mila tonnellate avviate a recupero</w:t>
            </w:r>
          </w:p>
          <w:p w14:paraId="34345A6C" w14:textId="77777777" w:rsidR="0039230C" w:rsidRPr="000B32DD" w:rsidRDefault="0039230C" w:rsidP="0039230C">
            <w:pPr>
              <w:numPr>
                <w:ilvl w:val="0"/>
                <w:numId w:val="6"/>
              </w:numPr>
              <w:jc w:val="both"/>
            </w:pPr>
            <w:r w:rsidRPr="000B32DD">
              <w:t>0,2 mila tonnellate avviate a termodistruzione</w:t>
            </w:r>
          </w:p>
          <w:p w14:paraId="577DB454" w14:textId="77777777" w:rsidR="0039230C" w:rsidRPr="000B32DD" w:rsidRDefault="0039230C" w:rsidP="0039230C">
            <w:pPr>
              <w:numPr>
                <w:ilvl w:val="0"/>
                <w:numId w:val="6"/>
              </w:numPr>
              <w:jc w:val="both"/>
            </w:pPr>
            <w:r w:rsidRPr="000B32DD">
              <w:t>673 automezzi attivi nella raccolta</w:t>
            </w:r>
          </w:p>
          <w:p w14:paraId="0C7BE538" w14:textId="77777777" w:rsidR="0039230C" w:rsidRPr="000B32DD" w:rsidRDefault="0039230C" w:rsidP="0039230C">
            <w:pPr>
              <w:numPr>
                <w:ilvl w:val="0"/>
                <w:numId w:val="6"/>
              </w:numPr>
              <w:jc w:val="both"/>
            </w:pPr>
            <w:r w:rsidRPr="000B32DD">
              <w:t>25,1 milioni di km percorsi</w:t>
            </w:r>
          </w:p>
          <w:p w14:paraId="08153BA3" w14:textId="77777777" w:rsidR="0039230C" w:rsidRDefault="0039230C" w:rsidP="0039230C">
            <w:pPr>
              <w:numPr>
                <w:ilvl w:val="0"/>
                <w:numId w:val="6"/>
              </w:numPr>
              <w:jc w:val="both"/>
            </w:pPr>
            <w:r w:rsidRPr="000B32DD">
              <w:t>Oltre 1.850 addetti nella Filiera</w:t>
            </w:r>
          </w:p>
          <w:p w14:paraId="79056B4D" w14:textId="77777777" w:rsidR="0039230C" w:rsidRDefault="0039230C" w:rsidP="000B32DD">
            <w:pPr>
              <w:jc w:val="both"/>
              <w:rPr>
                <w:b/>
                <w:bCs/>
              </w:rPr>
            </w:pPr>
          </w:p>
        </w:tc>
        <w:tc>
          <w:tcPr>
            <w:tcW w:w="3821" w:type="dxa"/>
          </w:tcPr>
          <w:p w14:paraId="4C8B1DAC" w14:textId="77777777" w:rsidR="000F030E" w:rsidRDefault="000F030E" w:rsidP="004B4463">
            <w:pPr>
              <w:jc w:val="center"/>
              <w:rPr>
                <w:b/>
                <w:bCs/>
              </w:rPr>
            </w:pPr>
          </w:p>
          <w:p w14:paraId="691124B9" w14:textId="1C24D84F" w:rsidR="0039230C" w:rsidRDefault="0039230C" w:rsidP="004B446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45525831" wp14:editId="0533F97C">
                  <wp:extent cx="1651000" cy="1651000"/>
                  <wp:effectExtent l="0" t="0" r="6350" b="6350"/>
                  <wp:docPr id="166758531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000" cy="165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2824102" w14:textId="60363F3C" w:rsidR="000F030E" w:rsidRDefault="000F030E" w:rsidP="004B4463">
            <w:pPr>
              <w:jc w:val="center"/>
              <w:rPr>
                <w:b/>
                <w:bCs/>
              </w:rPr>
            </w:pPr>
            <w:r w:rsidRPr="000D131A">
              <w:rPr>
                <w:i/>
                <w:iCs/>
                <w:sz w:val="18"/>
                <w:szCs w:val="18"/>
              </w:rPr>
              <w:t xml:space="preserve">Inquadra il </w:t>
            </w:r>
            <w:proofErr w:type="spellStart"/>
            <w:r w:rsidRPr="000D131A">
              <w:rPr>
                <w:i/>
                <w:iCs/>
                <w:sz w:val="18"/>
                <w:szCs w:val="18"/>
              </w:rPr>
              <w:t>Qcode</w:t>
            </w:r>
            <w:proofErr w:type="spellEnd"/>
            <w:r w:rsidRPr="000D131A">
              <w:rPr>
                <w:i/>
                <w:iCs/>
                <w:sz w:val="18"/>
                <w:szCs w:val="18"/>
              </w:rPr>
              <w:t xml:space="preserve"> per accedere a tutti i materiali</w:t>
            </w:r>
            <w:r>
              <w:rPr>
                <w:b/>
                <w:bCs/>
              </w:rPr>
              <w:t xml:space="preserve"> </w:t>
            </w:r>
          </w:p>
          <w:p w14:paraId="20BE7FC9" w14:textId="77777777" w:rsidR="000F030E" w:rsidRDefault="000F030E" w:rsidP="004B4463">
            <w:pPr>
              <w:jc w:val="center"/>
              <w:rPr>
                <w:b/>
                <w:bCs/>
              </w:rPr>
            </w:pPr>
          </w:p>
          <w:p w14:paraId="5FF26F18" w14:textId="282A4849" w:rsidR="000F030E" w:rsidRDefault="000F030E" w:rsidP="004B4463">
            <w:pPr>
              <w:jc w:val="center"/>
              <w:rPr>
                <w:b/>
                <w:bCs/>
              </w:rPr>
            </w:pPr>
          </w:p>
        </w:tc>
      </w:tr>
    </w:tbl>
    <w:p w14:paraId="6CFB31BF" w14:textId="77777777" w:rsidR="008F2E3A" w:rsidRDefault="008F2E3A" w:rsidP="008F2E3A">
      <w:pPr>
        <w:jc w:val="both"/>
      </w:pPr>
    </w:p>
    <w:p w14:paraId="3A510DE2" w14:textId="77777777" w:rsidR="008F2E3A" w:rsidRPr="000B32DD" w:rsidRDefault="008F2E3A" w:rsidP="008F2E3A">
      <w:pPr>
        <w:jc w:val="both"/>
      </w:pPr>
    </w:p>
    <w:sectPr w:rsidR="008F2E3A" w:rsidRPr="000B32DD" w:rsidSect="00225F31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1134" w:bottom="709" w:left="1134" w:header="16" w:footer="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88B5B" w14:textId="77777777" w:rsidR="0063290E" w:rsidRDefault="0063290E" w:rsidP="00164EA6">
      <w:r>
        <w:separator/>
      </w:r>
    </w:p>
  </w:endnote>
  <w:endnote w:type="continuationSeparator" w:id="0">
    <w:p w14:paraId="728250BD" w14:textId="77777777" w:rsidR="0063290E" w:rsidRDefault="0063290E" w:rsidP="00164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A02BD" w14:textId="14895A48" w:rsidR="00164EA6" w:rsidRDefault="00164EA6" w:rsidP="00164EA6">
    <w:pPr>
      <w:pStyle w:val="Pidipagina"/>
      <w:ind w:left="-113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4C1E4" w14:textId="373D6F50" w:rsidR="00164EA6" w:rsidRDefault="00164EA6" w:rsidP="00164EA6">
    <w:pPr>
      <w:pStyle w:val="Pidipagina"/>
      <w:ind w:left="-1134"/>
    </w:pPr>
    <w:r>
      <w:rPr>
        <w:noProof/>
      </w:rPr>
      <w:drawing>
        <wp:inline distT="0" distB="0" distL="0" distR="0" wp14:anchorId="4AE4196B" wp14:editId="10B139E2">
          <wp:extent cx="7560000" cy="1346806"/>
          <wp:effectExtent l="0" t="0" r="0" b="0"/>
          <wp:docPr id="945532928" name="Immagine 945532928" descr="Immagine che contiene testo, Carattere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117014" name="Immagine 4" descr="Immagine che contiene testo, Carattere, schermata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3468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92232" w14:textId="77777777" w:rsidR="0063290E" w:rsidRDefault="0063290E" w:rsidP="00164EA6">
      <w:r>
        <w:separator/>
      </w:r>
    </w:p>
  </w:footnote>
  <w:footnote w:type="continuationSeparator" w:id="0">
    <w:p w14:paraId="6DE0D7E4" w14:textId="77777777" w:rsidR="0063290E" w:rsidRDefault="0063290E" w:rsidP="00164E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4C690" w14:textId="2DDCDB03" w:rsidR="00164EA6" w:rsidRDefault="00164EA6" w:rsidP="00164EA6">
    <w:pPr>
      <w:pStyle w:val="Intestazione"/>
      <w:tabs>
        <w:tab w:val="clear" w:pos="9638"/>
      </w:tabs>
      <w:ind w:left="-1134" w:right="-1134"/>
    </w:pPr>
    <w:r>
      <w:rPr>
        <w:noProof/>
      </w:rPr>
      <w:drawing>
        <wp:inline distT="0" distB="0" distL="0" distR="0" wp14:anchorId="0CCAC082" wp14:editId="39608CC2">
          <wp:extent cx="1752600" cy="1879600"/>
          <wp:effectExtent l="0" t="0" r="0" b="0"/>
          <wp:docPr id="813106431" name="Immagine 813106431" descr="Immagine che contiene logo, Elementi grafici, clipart, simbol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7094823" name="Immagine 6" descr="Immagine che contiene logo, Elementi grafici, clipart, simbol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2600" cy="187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78E89" w14:textId="2BD63CB1" w:rsidR="00164EA6" w:rsidRDefault="00F14562" w:rsidP="00164EA6">
    <w:pPr>
      <w:pStyle w:val="Intestazione"/>
      <w:ind w:left="-1134"/>
    </w:pPr>
    <w:r>
      <w:rPr>
        <w:noProof/>
      </w:rPr>
      <w:drawing>
        <wp:inline distT="0" distB="0" distL="0" distR="0" wp14:anchorId="54E31D3A" wp14:editId="23577676">
          <wp:extent cx="7560000" cy="1880195"/>
          <wp:effectExtent l="0" t="0" r="0" b="0"/>
          <wp:docPr id="267406467" name="Immagine 267406467" descr="Immagine che contiene testo, logo, Carattere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2642233" name="Immagine 8" descr="Immagine che contiene testo, logo, Carattere, schermata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8801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3D402D"/>
    <w:multiLevelType w:val="hybridMultilevel"/>
    <w:tmpl w:val="6A76B13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097101"/>
    <w:multiLevelType w:val="multilevel"/>
    <w:tmpl w:val="EC6C8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8E1038"/>
    <w:multiLevelType w:val="hybridMultilevel"/>
    <w:tmpl w:val="AF54C020"/>
    <w:lvl w:ilvl="0" w:tplc="FC0058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44E1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7123F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CCF8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5A28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FE8A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48A0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BECC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5CA0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CE47CC7"/>
    <w:multiLevelType w:val="hybridMultilevel"/>
    <w:tmpl w:val="3ECEC6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317F5F"/>
    <w:multiLevelType w:val="multilevel"/>
    <w:tmpl w:val="4FEC8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932BE8"/>
    <w:multiLevelType w:val="hybridMultilevel"/>
    <w:tmpl w:val="599AE2EC"/>
    <w:lvl w:ilvl="0" w:tplc="18E8BC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80BA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062B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AAFB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ECB4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F885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482E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664D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4692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63AA4A4D"/>
    <w:multiLevelType w:val="hybridMultilevel"/>
    <w:tmpl w:val="594E625E"/>
    <w:lvl w:ilvl="0" w:tplc="45AC5C24">
      <w:start w:val="1"/>
      <w:numFmt w:val="decimal"/>
      <w:lvlText w:val="%1."/>
      <w:lvlJc w:val="left"/>
      <w:pPr>
        <w:ind w:left="1425" w:hanging="705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>
      <w:start w:val="1"/>
      <w:numFmt w:val="lowerLetter"/>
      <w:lvlText w:val="%5."/>
      <w:lvlJc w:val="left"/>
      <w:pPr>
        <w:ind w:left="3960" w:hanging="360"/>
      </w:pPr>
    </w:lvl>
    <w:lvl w:ilvl="5" w:tplc="0410001B">
      <w:start w:val="1"/>
      <w:numFmt w:val="lowerRoman"/>
      <w:lvlText w:val="%6."/>
      <w:lvlJc w:val="right"/>
      <w:pPr>
        <w:ind w:left="4680" w:hanging="180"/>
      </w:pPr>
    </w:lvl>
    <w:lvl w:ilvl="6" w:tplc="0410000F">
      <w:start w:val="1"/>
      <w:numFmt w:val="decimal"/>
      <w:lvlText w:val="%7."/>
      <w:lvlJc w:val="left"/>
      <w:pPr>
        <w:ind w:left="5400" w:hanging="360"/>
      </w:pPr>
    </w:lvl>
    <w:lvl w:ilvl="7" w:tplc="04100019">
      <w:start w:val="1"/>
      <w:numFmt w:val="lowerLetter"/>
      <w:lvlText w:val="%8."/>
      <w:lvlJc w:val="left"/>
      <w:pPr>
        <w:ind w:left="6120" w:hanging="360"/>
      </w:pPr>
    </w:lvl>
    <w:lvl w:ilvl="8" w:tplc="0410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EA87C59"/>
    <w:multiLevelType w:val="hybridMultilevel"/>
    <w:tmpl w:val="478A10B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2F0252D"/>
    <w:multiLevelType w:val="hybridMultilevel"/>
    <w:tmpl w:val="344CCAC8"/>
    <w:lvl w:ilvl="0" w:tplc="04100017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33446449">
    <w:abstractNumId w:val="7"/>
  </w:num>
  <w:num w:numId="2" w16cid:durableId="203413900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29014455">
    <w:abstractNumId w:val="0"/>
  </w:num>
  <w:num w:numId="4" w16cid:durableId="3107900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743996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43212464">
    <w:abstractNumId w:val="1"/>
  </w:num>
  <w:num w:numId="7" w16cid:durableId="1616985246">
    <w:abstractNumId w:val="4"/>
  </w:num>
  <w:num w:numId="8" w16cid:durableId="1270770289">
    <w:abstractNumId w:val="5"/>
  </w:num>
  <w:num w:numId="9" w16cid:durableId="6714879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EA6"/>
    <w:rsid w:val="000848AC"/>
    <w:rsid w:val="000B32DD"/>
    <w:rsid w:val="000C17C2"/>
    <w:rsid w:val="000D131A"/>
    <w:rsid w:val="000D7C9A"/>
    <w:rsid w:val="000E29AB"/>
    <w:rsid w:val="000E2A8F"/>
    <w:rsid w:val="000F030E"/>
    <w:rsid w:val="00110BF5"/>
    <w:rsid w:val="0016146C"/>
    <w:rsid w:val="00164EA6"/>
    <w:rsid w:val="0017616F"/>
    <w:rsid w:val="001A2F55"/>
    <w:rsid w:val="001D2330"/>
    <w:rsid w:val="001D7FEE"/>
    <w:rsid w:val="001E7494"/>
    <w:rsid w:val="00222936"/>
    <w:rsid w:val="00225F31"/>
    <w:rsid w:val="00245C30"/>
    <w:rsid w:val="00255B3F"/>
    <w:rsid w:val="00272ECF"/>
    <w:rsid w:val="00297C34"/>
    <w:rsid w:val="002C524E"/>
    <w:rsid w:val="002C6AE5"/>
    <w:rsid w:val="002F0524"/>
    <w:rsid w:val="0037544B"/>
    <w:rsid w:val="0039230C"/>
    <w:rsid w:val="003E02B1"/>
    <w:rsid w:val="003E5758"/>
    <w:rsid w:val="003F44E5"/>
    <w:rsid w:val="0045483E"/>
    <w:rsid w:val="00474B3B"/>
    <w:rsid w:val="004949C7"/>
    <w:rsid w:val="004B4463"/>
    <w:rsid w:val="004C2D30"/>
    <w:rsid w:val="00503278"/>
    <w:rsid w:val="00531E1D"/>
    <w:rsid w:val="00565D81"/>
    <w:rsid w:val="00570773"/>
    <w:rsid w:val="00576ADF"/>
    <w:rsid w:val="0059336B"/>
    <w:rsid w:val="005D47D8"/>
    <w:rsid w:val="006120FA"/>
    <w:rsid w:val="0061372F"/>
    <w:rsid w:val="006222C0"/>
    <w:rsid w:val="0063290E"/>
    <w:rsid w:val="00653505"/>
    <w:rsid w:val="00661AEE"/>
    <w:rsid w:val="006825EE"/>
    <w:rsid w:val="00685E72"/>
    <w:rsid w:val="006E572F"/>
    <w:rsid w:val="006F4D33"/>
    <w:rsid w:val="006F5E7C"/>
    <w:rsid w:val="007259FF"/>
    <w:rsid w:val="00725FB9"/>
    <w:rsid w:val="00765618"/>
    <w:rsid w:val="007D0F3C"/>
    <w:rsid w:val="007F6EA5"/>
    <w:rsid w:val="0081135E"/>
    <w:rsid w:val="0083796F"/>
    <w:rsid w:val="00851B67"/>
    <w:rsid w:val="008575B4"/>
    <w:rsid w:val="00872BDA"/>
    <w:rsid w:val="0088795B"/>
    <w:rsid w:val="008C1147"/>
    <w:rsid w:val="008F2E3A"/>
    <w:rsid w:val="009221D0"/>
    <w:rsid w:val="00961D1E"/>
    <w:rsid w:val="0096773D"/>
    <w:rsid w:val="00982779"/>
    <w:rsid w:val="009B3F93"/>
    <w:rsid w:val="009E0791"/>
    <w:rsid w:val="009F333E"/>
    <w:rsid w:val="00A010FC"/>
    <w:rsid w:val="00A26E47"/>
    <w:rsid w:val="00A5501C"/>
    <w:rsid w:val="00A71144"/>
    <w:rsid w:val="00A96376"/>
    <w:rsid w:val="00AE00E7"/>
    <w:rsid w:val="00B31887"/>
    <w:rsid w:val="00B40C6F"/>
    <w:rsid w:val="00B51965"/>
    <w:rsid w:val="00B56A4F"/>
    <w:rsid w:val="00BD7ED8"/>
    <w:rsid w:val="00C14CA5"/>
    <w:rsid w:val="00C17CB0"/>
    <w:rsid w:val="00C21FA7"/>
    <w:rsid w:val="00C34879"/>
    <w:rsid w:val="00C44CCF"/>
    <w:rsid w:val="00C62D1D"/>
    <w:rsid w:val="00C7477B"/>
    <w:rsid w:val="00C87790"/>
    <w:rsid w:val="00CA6088"/>
    <w:rsid w:val="00CC393D"/>
    <w:rsid w:val="00CC43C9"/>
    <w:rsid w:val="00CE798B"/>
    <w:rsid w:val="00CF75CD"/>
    <w:rsid w:val="00D25C60"/>
    <w:rsid w:val="00D56134"/>
    <w:rsid w:val="00D973C9"/>
    <w:rsid w:val="00DB40CE"/>
    <w:rsid w:val="00E72943"/>
    <w:rsid w:val="00E915BD"/>
    <w:rsid w:val="00E93D06"/>
    <w:rsid w:val="00EA2FFC"/>
    <w:rsid w:val="00EA53A2"/>
    <w:rsid w:val="00EC60CE"/>
    <w:rsid w:val="00ED43C6"/>
    <w:rsid w:val="00F14562"/>
    <w:rsid w:val="00F1639B"/>
    <w:rsid w:val="00F21BC5"/>
    <w:rsid w:val="00F54B09"/>
    <w:rsid w:val="00F57E58"/>
    <w:rsid w:val="00FC3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1FE005"/>
  <w15:chartTrackingRefBased/>
  <w15:docId w15:val="{D218C773-0473-4130-996D-C9906FFDF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64E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4EA6"/>
  </w:style>
  <w:style w:type="paragraph" w:styleId="Pidipagina">
    <w:name w:val="footer"/>
    <w:basedOn w:val="Normale"/>
    <w:link w:val="PidipaginaCarattere"/>
    <w:uiPriority w:val="99"/>
    <w:unhideWhenUsed/>
    <w:rsid w:val="00164E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4EA6"/>
  </w:style>
  <w:style w:type="character" w:styleId="Rimandocommento">
    <w:name w:val="annotation reference"/>
    <w:basedOn w:val="Carpredefinitoparagrafo"/>
    <w:uiPriority w:val="99"/>
    <w:semiHidden/>
    <w:unhideWhenUsed/>
    <w:rsid w:val="00245C3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245C30"/>
    <w:rPr>
      <w:rFonts w:ascii="Arial" w:eastAsia="Arial" w:hAnsi="Arial" w:cs="Arial"/>
      <w:kern w:val="0"/>
      <w:sz w:val="20"/>
      <w:szCs w:val="20"/>
      <w:lang w:val="it" w:eastAsia="it-IT"/>
      <w14:ligatures w14:val="none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245C30"/>
    <w:rPr>
      <w:rFonts w:ascii="Arial" w:eastAsia="Arial" w:hAnsi="Arial" w:cs="Arial"/>
      <w:kern w:val="0"/>
      <w:sz w:val="20"/>
      <w:szCs w:val="20"/>
      <w:lang w:val="it" w:eastAsia="it-IT"/>
      <w14:ligatures w14:val="none"/>
    </w:rPr>
  </w:style>
  <w:style w:type="paragraph" w:styleId="Revisione">
    <w:name w:val="Revision"/>
    <w:hidden/>
    <w:uiPriority w:val="99"/>
    <w:semiHidden/>
    <w:rsid w:val="0088795B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A6088"/>
    <w:rPr>
      <w:rFonts w:asciiTheme="minorHAnsi" w:eastAsiaTheme="minorHAnsi" w:hAnsiTheme="minorHAnsi" w:cstheme="minorBidi"/>
      <w:b/>
      <w:bCs/>
      <w:kern w:val="2"/>
      <w:lang w:val="it-IT" w:eastAsia="en-US"/>
      <w14:ligatures w14:val="standardContextual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A6088"/>
    <w:rPr>
      <w:rFonts w:ascii="Arial" w:eastAsia="Arial" w:hAnsi="Arial" w:cs="Arial"/>
      <w:b/>
      <w:bCs/>
      <w:kern w:val="0"/>
      <w:sz w:val="20"/>
      <w:szCs w:val="20"/>
      <w:lang w:val="it" w:eastAsia="it-IT"/>
      <w14:ligatures w14:val="none"/>
    </w:rPr>
  </w:style>
  <w:style w:type="table" w:styleId="Grigliatabella">
    <w:name w:val="Table Grid"/>
    <w:basedOn w:val="Tabellanormale"/>
    <w:uiPriority w:val="39"/>
    <w:rsid w:val="003923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1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60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36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47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222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6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5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5067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6590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519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620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77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0517B01245EA745A2D634D7F26F9317" ma:contentTypeVersion="13" ma:contentTypeDescription="Creare un nuovo documento." ma:contentTypeScope="" ma:versionID="a431ba8bf49b77b3093fef110e3a4f0c">
  <xsd:schema xmlns:xsd="http://www.w3.org/2001/XMLSchema" xmlns:xs="http://www.w3.org/2001/XMLSchema" xmlns:p="http://schemas.microsoft.com/office/2006/metadata/properties" xmlns:ns2="cbf6c1b9-a0d0-4e55-9b96-9f9fb2217f72" xmlns:ns3="18a7c2f0-6222-4e18-a5e2-54f1fd0f992c" targetNamespace="http://schemas.microsoft.com/office/2006/metadata/properties" ma:root="true" ma:fieldsID="6b1061fe6582b4b08e1d6684872b4619" ns2:_="" ns3:_="">
    <xsd:import namespace="cbf6c1b9-a0d0-4e55-9b96-9f9fb2217f72"/>
    <xsd:import namespace="18a7c2f0-6222-4e18-a5e2-54f1fd0f99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f6c1b9-a0d0-4e55-9b96-9f9fb2217f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79a18c38-5f7c-45ae-a575-014d31add3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a7c2f0-6222-4e18-a5e2-54f1fd0f992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ff30bf3-18aa-4c0d-8fd2-0ab67bb6726f}" ma:internalName="TaxCatchAll" ma:showField="CatchAllData" ma:web="18a7c2f0-6222-4e18-a5e2-54f1fd0f99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a7c2f0-6222-4e18-a5e2-54f1fd0f992c" xsi:nil="true"/>
    <lcf76f155ced4ddcb4097134ff3c332f xmlns="cbf6c1b9-a0d0-4e55-9b96-9f9fb2217f7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B7CDAD5-CF08-4587-A1F8-A4AE4774D1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FDA3DD-4E42-4F22-80D8-0BCA5585F6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f6c1b9-a0d0-4e55-9b96-9f9fb2217f72"/>
    <ds:schemaRef ds:uri="18a7c2f0-6222-4e18-a5e2-54f1fd0f99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EE8CE7-F97A-4F2A-9029-2993AA013EAC}">
  <ds:schemaRefs>
    <ds:schemaRef ds:uri="http://schemas.microsoft.com/office/2006/metadata/properties"/>
    <ds:schemaRef ds:uri="http://schemas.microsoft.com/office/infopath/2007/PartnerControls"/>
    <ds:schemaRef ds:uri="18a7c2f0-6222-4e18-a5e2-54f1fd0f992c"/>
    <ds:schemaRef ds:uri="cbf6c1b9-a0d0-4e55-9b96-9f9fb2217f72"/>
  </ds:schemaRefs>
</ds:datastoreItem>
</file>

<file path=customXml/itemProps4.xml><?xml version="1.0" encoding="utf-8"?>
<ds:datastoreItem xmlns:ds="http://schemas.openxmlformats.org/officeDocument/2006/customXml" ds:itemID="{FE4B78CC-9942-6940-BF3A-8F37DBD2E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812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Silvestro Chiricozzi</dc:creator>
  <cp:keywords/>
  <dc:description/>
  <cp:lastModifiedBy>Galassi Fabrizio</cp:lastModifiedBy>
  <cp:revision>2</cp:revision>
  <dcterms:created xsi:type="dcterms:W3CDTF">2025-06-23T15:05:00Z</dcterms:created>
  <dcterms:modified xsi:type="dcterms:W3CDTF">2025-06-23T15:05:00Z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0x01010090517B01245EA745A2D634D7F26F9317</vt:lpwstr>
  </property>
  <property fmtid="{D5CDD505-2E9C-101B-9397-08002B2CF9AE}" pid="3" name="_dlc_DocIdItemGuid">
    <vt:lpwstr>24c20929-2930-4403-9791-d05961ed778b</vt:lpwstr>
  </property>
  <property fmtid="{D5CDD505-2E9C-101B-9397-08002B2CF9AE}" pid="4" name="MediaServiceImageTags">
    <vt:lpwstr/>
  </property>
</Properties>
</file>